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366EF" w14:textId="6F5B5D61" w:rsidR="0011681B" w:rsidRPr="00C14998"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Na osnovu člana 17 stav 4 Zakona o održavanju stambenih zgrada ("Sl. list CG ", br. 041/16, 084/18, 111/22, 140/22 i 084/24), člana 38 stav 1 tačka 2, a u vezi sa članom 27 tačka 10 Zakona o lokalnoj samoupravi ("Službeni list Crne Gore", br. 002/18, 034/19, 038/20, 050/22, 084/22, 81/25 i 98/25 ) i člana 46 stav 1 tačka 2 Statuta Opštine Rožaje ("Službeni list Crne Gore - opštinski propisi", br.</w:t>
      </w:r>
      <w:r w:rsidR="00A64C1F">
        <w:rPr>
          <w:rFonts w:ascii="Times New Roman" w:hAnsi="Times New Roman" w:cs="Times New Roman"/>
          <w:sz w:val="24"/>
          <w:szCs w:val="24"/>
        </w:rPr>
        <w:t xml:space="preserve"> </w:t>
      </w:r>
      <w:r w:rsidRPr="00501561">
        <w:rPr>
          <w:rFonts w:ascii="Times New Roman" w:hAnsi="Times New Roman" w:cs="Times New Roman"/>
          <w:sz w:val="24"/>
          <w:szCs w:val="24"/>
        </w:rPr>
        <w:t>38/18 i 16/21), Skupština opštine Rožaje</w:t>
      </w:r>
      <w:r w:rsidR="00501561">
        <w:rPr>
          <w:rFonts w:ascii="Times New Roman" w:hAnsi="Times New Roman" w:cs="Times New Roman"/>
          <w:sz w:val="24"/>
          <w:szCs w:val="24"/>
        </w:rPr>
        <w:t>,</w:t>
      </w:r>
      <w:r w:rsidRPr="00501561">
        <w:rPr>
          <w:rFonts w:ascii="Times New Roman" w:hAnsi="Times New Roman" w:cs="Times New Roman"/>
          <w:sz w:val="24"/>
          <w:szCs w:val="24"/>
        </w:rPr>
        <w:t xml:space="preserve"> na sj</w:t>
      </w:r>
      <w:r w:rsidR="00501561">
        <w:rPr>
          <w:rFonts w:ascii="Times New Roman" w:hAnsi="Times New Roman" w:cs="Times New Roman"/>
          <w:sz w:val="24"/>
          <w:szCs w:val="24"/>
        </w:rPr>
        <w:t>ednici održanoj dana 28.04.2026. godine, donijela je</w:t>
      </w:r>
    </w:p>
    <w:p w14:paraId="3FE0CDF1"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ODLUKU</w:t>
      </w:r>
    </w:p>
    <w:p w14:paraId="2E497EB4"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o sufinansiranju adaptacije zajedničkih djelova stambenih zgrada na teritoriji opštine Rožaje</w:t>
      </w:r>
    </w:p>
    <w:p w14:paraId="7A9CA081" w14:textId="4EA8268D"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I OPŠTE ODREDBE </w:t>
      </w:r>
    </w:p>
    <w:p w14:paraId="65C66448" w14:textId="77777777" w:rsidR="0011681B" w:rsidRPr="00501561" w:rsidRDefault="0011681B" w:rsidP="0011681B">
      <w:pPr>
        <w:jc w:val="center"/>
        <w:rPr>
          <w:rFonts w:ascii="Times New Roman" w:hAnsi="Times New Roman" w:cs="Times New Roman"/>
          <w:b/>
          <w:sz w:val="24"/>
          <w:szCs w:val="24"/>
        </w:rPr>
      </w:pPr>
      <w:r w:rsidRPr="00501561">
        <w:rPr>
          <w:rFonts w:ascii="Times New Roman" w:hAnsi="Times New Roman" w:cs="Times New Roman"/>
          <w:b/>
          <w:sz w:val="24"/>
          <w:szCs w:val="24"/>
        </w:rPr>
        <w:t>Član 1</w:t>
      </w:r>
    </w:p>
    <w:p w14:paraId="72293C95" w14:textId="23DBE024"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Ovom odlukom propisuju se uslovi, način, postupak i kriterijumi sufinansiranja adaptacije zajedničkih djelova stambenih i stambeno poslovnih  zgrada na teritoriji opštine Rožaje (u daljem tekstu: Adaptacija). </w:t>
      </w:r>
    </w:p>
    <w:p w14:paraId="33060967" w14:textId="77777777" w:rsidR="0011681B" w:rsidRPr="00501561" w:rsidRDefault="0011681B" w:rsidP="0011681B">
      <w:pPr>
        <w:jc w:val="center"/>
        <w:rPr>
          <w:rFonts w:ascii="Times New Roman" w:hAnsi="Times New Roman" w:cs="Times New Roman"/>
          <w:b/>
          <w:sz w:val="24"/>
          <w:szCs w:val="24"/>
        </w:rPr>
      </w:pPr>
      <w:r w:rsidRPr="00501561">
        <w:rPr>
          <w:rFonts w:ascii="Times New Roman" w:hAnsi="Times New Roman" w:cs="Times New Roman"/>
          <w:b/>
          <w:sz w:val="24"/>
          <w:szCs w:val="24"/>
        </w:rPr>
        <w:t>Član 2</w:t>
      </w:r>
    </w:p>
    <w:p w14:paraId="09A3963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U cilju poboljšanja uslova stanovanja i poboljšanja energetske efikasnosti u stambenim i poslovno stambenim zgradama Opština Rožaje može pokrenuti postupak sufinansiranja Adaptacije ukoliko su budžetom za tu godinu predviđena sredstva za tu namjenu. </w:t>
      </w:r>
    </w:p>
    <w:p w14:paraId="3DABD11B" w14:textId="453294A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Sufinansiranje Adaptacije vrši se do 70 % ukupne predračunske vrijednosti radova iskazanih u ponudi izvođača radova . </w:t>
      </w:r>
    </w:p>
    <w:p w14:paraId="0381C863" w14:textId="77777777" w:rsidR="0011681B" w:rsidRPr="00501561" w:rsidRDefault="0011681B" w:rsidP="0011681B">
      <w:pPr>
        <w:jc w:val="center"/>
        <w:rPr>
          <w:rFonts w:ascii="Times New Roman" w:hAnsi="Times New Roman" w:cs="Times New Roman"/>
          <w:b/>
          <w:sz w:val="24"/>
          <w:szCs w:val="24"/>
        </w:rPr>
      </w:pPr>
      <w:r w:rsidRPr="00501561">
        <w:rPr>
          <w:rFonts w:ascii="Times New Roman" w:hAnsi="Times New Roman" w:cs="Times New Roman"/>
          <w:b/>
          <w:bCs/>
          <w:sz w:val="24"/>
          <w:szCs w:val="24"/>
        </w:rPr>
        <w:t>Član 3</w:t>
      </w:r>
    </w:p>
    <w:p w14:paraId="24F12DB2"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Adaptacija, u smislu ove odluke je izvođenje radova na zajedničkim djelovima postojećih stambenih i poslovno stambenih zgrada s obzirom na tip, oblik, vrstu građevine i vrstu materijala od kojih su građene, osim: </w:t>
      </w:r>
    </w:p>
    <w:p w14:paraId="77431D0F" w14:textId="407DA0C3"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 nabavke novih stolarskih i bravarskih elemenata (krovni prozori, prozori, vrata, zastakljeni zidovi, nosive konstrukcije visećih fasadnih sistema s montažnim materijalom, ograde i slično) koji se ugrađuju u ili na spoljni zid zgrade; </w:t>
      </w:r>
    </w:p>
    <w:p w14:paraId="075812A8" w14:textId="2E8D275E"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Radovima iz stava 1 ovog člana ne utiče se na stabilnost i sigurnost objekta, ne mijenjaju konstruktivni elementi, ne mijenja spoljni izgled u odnosu na projekat zgrade i ne utiče na bezbjednost susjednih objekata, saobraćaja, zaštite od požara i životne sredine. </w:t>
      </w:r>
    </w:p>
    <w:p w14:paraId="58D06509" w14:textId="77777777" w:rsidR="0011681B" w:rsidRPr="00501561" w:rsidRDefault="0011681B" w:rsidP="0011681B">
      <w:pPr>
        <w:jc w:val="center"/>
        <w:rPr>
          <w:rFonts w:ascii="Times New Roman" w:hAnsi="Times New Roman" w:cs="Times New Roman"/>
          <w:b/>
          <w:bCs/>
          <w:sz w:val="24"/>
          <w:szCs w:val="24"/>
        </w:rPr>
      </w:pPr>
      <w:r w:rsidRPr="00501561">
        <w:rPr>
          <w:rFonts w:ascii="Times New Roman" w:hAnsi="Times New Roman" w:cs="Times New Roman"/>
          <w:b/>
          <w:bCs/>
          <w:sz w:val="24"/>
          <w:szCs w:val="24"/>
        </w:rPr>
        <w:t>Član 4</w:t>
      </w:r>
    </w:p>
    <w:p w14:paraId="55D80156" w14:textId="04DFA80A" w:rsidR="0011681B"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Adaptacija se izvodi u cjelini, na zgradama kao arhitektonskim cjelinama, po pravilu materijalima koji su isti ili slični izvornim materijalima. Radi zaštite od vanjskih klimatskih i atmosferskih uticaja Adaptacija se mora izvoditi od materijala koji odgovaraju normativima za </w:t>
      </w:r>
      <w:r w:rsidR="00501561">
        <w:rPr>
          <w:rFonts w:ascii="Times New Roman" w:hAnsi="Times New Roman" w:cs="Times New Roman"/>
          <w:sz w:val="24"/>
          <w:szCs w:val="24"/>
        </w:rPr>
        <w:t>termoizolaciju i hidroizolaciju.</w:t>
      </w:r>
    </w:p>
    <w:p w14:paraId="09EDDA62" w14:textId="77777777" w:rsidR="00501561" w:rsidRDefault="00501561" w:rsidP="0011681B">
      <w:pPr>
        <w:jc w:val="both"/>
        <w:rPr>
          <w:rFonts w:ascii="Times New Roman" w:hAnsi="Times New Roman" w:cs="Times New Roman"/>
          <w:sz w:val="24"/>
          <w:szCs w:val="24"/>
        </w:rPr>
      </w:pPr>
    </w:p>
    <w:p w14:paraId="53F303EA" w14:textId="77777777" w:rsidR="00501561" w:rsidRPr="00501561" w:rsidRDefault="00501561" w:rsidP="0011681B">
      <w:pPr>
        <w:jc w:val="both"/>
        <w:rPr>
          <w:rFonts w:ascii="Times New Roman" w:hAnsi="Times New Roman" w:cs="Times New Roman"/>
          <w:sz w:val="24"/>
          <w:szCs w:val="24"/>
        </w:rPr>
      </w:pPr>
    </w:p>
    <w:p w14:paraId="5AB826F8" w14:textId="77777777" w:rsidR="0011681B" w:rsidRPr="00501561" w:rsidRDefault="0011681B" w:rsidP="0011681B">
      <w:pPr>
        <w:jc w:val="both"/>
        <w:rPr>
          <w:rFonts w:ascii="Times New Roman" w:hAnsi="Times New Roman" w:cs="Times New Roman"/>
          <w:b/>
          <w:sz w:val="24"/>
          <w:szCs w:val="24"/>
        </w:rPr>
      </w:pPr>
      <w:r w:rsidRPr="00501561">
        <w:rPr>
          <w:rFonts w:ascii="Times New Roman" w:hAnsi="Times New Roman" w:cs="Times New Roman"/>
          <w:b/>
          <w:sz w:val="24"/>
          <w:szCs w:val="24"/>
        </w:rPr>
        <w:lastRenderedPageBreak/>
        <w:t xml:space="preserve">II POSEBNE ODREDBE </w:t>
      </w:r>
    </w:p>
    <w:p w14:paraId="65BBD30E" w14:textId="77777777" w:rsidR="0011681B" w:rsidRPr="00501561" w:rsidRDefault="0011681B" w:rsidP="0011681B">
      <w:pPr>
        <w:jc w:val="both"/>
        <w:rPr>
          <w:rFonts w:ascii="Times New Roman" w:hAnsi="Times New Roman" w:cs="Times New Roman"/>
          <w:b/>
          <w:bCs/>
          <w:sz w:val="24"/>
          <w:szCs w:val="24"/>
        </w:rPr>
      </w:pPr>
      <w:r w:rsidRPr="00501561">
        <w:rPr>
          <w:rFonts w:ascii="Times New Roman" w:hAnsi="Times New Roman" w:cs="Times New Roman"/>
          <w:b/>
          <w:bCs/>
          <w:sz w:val="24"/>
          <w:szCs w:val="24"/>
        </w:rPr>
        <w:t xml:space="preserve">Javni poziv </w:t>
      </w:r>
    </w:p>
    <w:p w14:paraId="719CAD8E"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5</w:t>
      </w:r>
    </w:p>
    <w:p w14:paraId="22BB08E3"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Sufinansiranja Adaptacije se vrši na osnovu javnog poziva (u daljem tekstu: ”Javni poziv”). </w:t>
      </w:r>
    </w:p>
    <w:p w14:paraId="7C50C04E"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Javni poziv priprema i objavljuje organ lokalne uprave nadležan za stambene poslove (u daljem tekstu: ”organ lokalne uprave”). </w:t>
      </w:r>
    </w:p>
    <w:p w14:paraId="40EE7A5B"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Javni poziv sadrži uslove učešća, opis prihvatljivih radova na adaptaciji i način vrednovanja pristiglih ponuda. </w:t>
      </w:r>
    </w:p>
    <w:p w14:paraId="17D8BF04"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Javni poziv se objavljuje na zvaničnoj internet stranici Opštine Rožaje i oglasnoj tabli Opštine Rožaje. </w:t>
      </w:r>
    </w:p>
    <w:p w14:paraId="29191CA4" w14:textId="2BC67998"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Organ lokalne uprave nadležan za stambene poslove dužan je da, nakon objavljivanja javnog poziva, pisanim putem obavijesti sve registrovane upravnike stambenih zgrada na teritoriji opštine Rožaje o objavljenom javnom pozivu, u cilju bolje informisanosti i obezbjeđivanja ravnopravnosti. </w:t>
      </w:r>
    </w:p>
    <w:p w14:paraId="436C8B2E"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6</w:t>
      </w:r>
    </w:p>
    <w:p w14:paraId="28EF69A9" w14:textId="6AE313B8"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Pravo učešća na javni poziv imaju organi upravljanja stambenim zgradama koji su obrazovani u skladu sa zakonima kojima su uređeni svojinsko pravni odnosi i održavanje stambenih zgrada.</w:t>
      </w:r>
    </w:p>
    <w:p w14:paraId="03B54C2B" w14:textId="77777777" w:rsidR="0011681B" w:rsidRPr="00501561" w:rsidRDefault="0011681B" w:rsidP="0011681B">
      <w:pPr>
        <w:jc w:val="both"/>
        <w:rPr>
          <w:rFonts w:ascii="Times New Roman" w:hAnsi="Times New Roman" w:cs="Times New Roman"/>
          <w:b/>
          <w:bCs/>
          <w:sz w:val="24"/>
          <w:szCs w:val="24"/>
        </w:rPr>
      </w:pPr>
      <w:r w:rsidRPr="00501561">
        <w:rPr>
          <w:rFonts w:ascii="Times New Roman" w:hAnsi="Times New Roman" w:cs="Times New Roman"/>
          <w:b/>
          <w:bCs/>
          <w:sz w:val="24"/>
          <w:szCs w:val="24"/>
        </w:rPr>
        <w:t xml:space="preserve">Postupak i rokovi po javnom pozivu </w:t>
      </w:r>
    </w:p>
    <w:p w14:paraId="5D37C3F1"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7</w:t>
      </w:r>
    </w:p>
    <w:p w14:paraId="3F64E8D7"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Prijava na javni poziv se podnosi u roku od 20 dana od dana njegovog objavljivanja. </w:t>
      </w:r>
    </w:p>
    <w:p w14:paraId="1D45565A"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Prijava na javni poziv sa dokumentacijom iz člana 10 se podnosi organu lokalne uprave, preko pisarnice, u zapečaćenoj koverti sa naznakom “Za javni poziv za sufinansiranje adaptacije zajedničkih djelova stambenih zgrada na teritoriji opštine Rožaje“.</w:t>
      </w:r>
    </w:p>
    <w:p w14:paraId="080E70CC"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Organ lokalne uprave otvara pristigle prijave i utvrđuje blagovremenost i urednost pristiglih prijava. </w:t>
      </w:r>
    </w:p>
    <w:p w14:paraId="72F40397" w14:textId="247862AC"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Ako je dostavljena dokumentacija nepotpuna organ lokalne uprave će pisanim putem zatražiti od upravnika zgrade dopunu dokumentacije, koju je upravnik dužan da dostavi u roku od 5 dana od dana dostavljanja poziva za dopunu dokumentacije u skladu sa ZUP-om.        </w:t>
      </w:r>
    </w:p>
    <w:p w14:paraId="163AB98F" w14:textId="77777777" w:rsidR="0011681B" w:rsidRPr="00501561" w:rsidRDefault="0011681B" w:rsidP="0011681B">
      <w:pPr>
        <w:jc w:val="both"/>
        <w:rPr>
          <w:rFonts w:ascii="Times New Roman" w:hAnsi="Times New Roman" w:cs="Times New Roman"/>
          <w:b/>
          <w:bCs/>
          <w:sz w:val="24"/>
          <w:szCs w:val="24"/>
        </w:rPr>
      </w:pPr>
      <w:r w:rsidRPr="00501561">
        <w:rPr>
          <w:rFonts w:ascii="Times New Roman" w:hAnsi="Times New Roman" w:cs="Times New Roman"/>
          <w:b/>
          <w:bCs/>
          <w:sz w:val="24"/>
          <w:szCs w:val="24"/>
        </w:rPr>
        <w:t>Komisija</w:t>
      </w:r>
    </w:p>
    <w:p w14:paraId="65ED669C"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8</w:t>
      </w:r>
    </w:p>
    <w:p w14:paraId="5F864955"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Na predlog organa lokalne uprave predsjednik Opštine imenuje Komisiju. </w:t>
      </w:r>
    </w:p>
    <w:p w14:paraId="3DB839D7"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Komisija ima predsjednika i četiri člana. </w:t>
      </w:r>
    </w:p>
    <w:p w14:paraId="5F8FBF86"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Zadatak Komisije je da: </w:t>
      </w:r>
    </w:p>
    <w:p w14:paraId="28B3706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izvrši bodovanje podnijetih prijava za adaptaciju prema kriterijumima utvrđenim ovom odlukom i javnim pozivom;( iz šeme utvrđuje nacrt liste prioriteta i objavljuje na sajtu Opštine);</w:t>
      </w:r>
    </w:p>
    <w:p w14:paraId="06EB77B6"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lastRenderedPageBreak/>
        <w:t>- utvrdi prijedlog liste prioriteta sufinansiranja  Adaptacije;</w:t>
      </w:r>
    </w:p>
    <w:p w14:paraId="125C2A42"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 razmatra prigovore učesnika javnog poziva izjavljenih na prijedlog liste prioriteta; </w:t>
      </w:r>
    </w:p>
    <w:p w14:paraId="74CDCEBC"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 utvrdi prijedlog novčanih sredstava za sufinansiranje Adaptacije i isti dostavi organu lokalne uprave na dalju nadležnost; </w:t>
      </w:r>
    </w:p>
    <w:p w14:paraId="1680FB4F"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 prati izvođenje radova u pogledu ugovorenog obima i kvaliteta te podnosi Izvještaj o                 izvedenim  radovima organu lokalne uprave i predsjedniku. </w:t>
      </w:r>
    </w:p>
    <w:p w14:paraId="4D40BE5E" w14:textId="08544BB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Komisija donosi Pravilnik o radu.</w:t>
      </w:r>
    </w:p>
    <w:p w14:paraId="2626831C" w14:textId="64AEB312"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Za potrebe obavljanja poslova Komisija će koristiti pečat predsjednika Opštine.</w:t>
      </w:r>
    </w:p>
    <w:p w14:paraId="6D35C6A9" w14:textId="77777777" w:rsidR="0011681B" w:rsidRPr="00501561" w:rsidRDefault="0011681B" w:rsidP="0011681B">
      <w:pPr>
        <w:jc w:val="both"/>
        <w:rPr>
          <w:rFonts w:ascii="Times New Roman" w:hAnsi="Times New Roman" w:cs="Times New Roman"/>
          <w:sz w:val="24"/>
          <w:szCs w:val="24"/>
        </w:rPr>
      </w:pPr>
    </w:p>
    <w:p w14:paraId="51CE9EAD" w14:textId="396E1875"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b/>
          <w:bCs/>
          <w:sz w:val="24"/>
          <w:szCs w:val="24"/>
        </w:rPr>
        <w:t xml:space="preserve">Kriterijumi za utvrđivanje liste prioriteta </w:t>
      </w:r>
    </w:p>
    <w:p w14:paraId="7EAA25B7"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9</w:t>
      </w:r>
    </w:p>
    <w:p w14:paraId="6075D9A3"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Kriterijumi za utvrđivanje prijedloga novčanih sredstava za sufinansiranje  adaptacije zajedničkih djelova zgrade određeni su po grupama, a svaka grupa je podijeljena na podgrupe koje se vrijednuju dodjeljivanjem bodova na način kako slijedi: </w:t>
      </w:r>
    </w:p>
    <w:p w14:paraId="242B1B4E"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1. Lokacija zgrade:</w:t>
      </w:r>
    </w:p>
    <w:p w14:paraId="24C3580E"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a) zgrade u ulici Maršala Tita i ulici 13. jul.........................................50 bodova;</w:t>
      </w:r>
    </w:p>
    <w:p w14:paraId="7515C6F5"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b) zgrade u ulici 30. septembar i Gradski trg.......................................40 bodova;</w:t>
      </w:r>
    </w:p>
    <w:p w14:paraId="16476E97" w14:textId="4BA4A1C0"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c) ostale stambene zgrade na teritoriji opštine Rožaje.........................20 bodova.</w:t>
      </w:r>
    </w:p>
    <w:p w14:paraId="4D6A58A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2. Godina izgradnje zgrade / starost zgrade ako je poznata ili prema graditeljskim karakteristikama: </w:t>
      </w:r>
    </w:p>
    <w:p w14:paraId="03D777DA"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a. starija od 50 godina ……………………………………………… 50 bodova; </w:t>
      </w:r>
    </w:p>
    <w:p w14:paraId="7C1DABBA"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b. od 41 do 50 godina ………………………………………………. 45 bodova; </w:t>
      </w:r>
    </w:p>
    <w:p w14:paraId="1951EDFE"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c. od 31 do 40 godina ………………………………………………. 40 bodova; </w:t>
      </w:r>
    </w:p>
    <w:p w14:paraId="7723E0A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d. od 21 do 30 godina ………………………………………………. 30 bodova; </w:t>
      </w:r>
    </w:p>
    <w:p w14:paraId="34842217" w14:textId="05DE10FB"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e. izgrađena u poslednjih 20 godina……………………………….... 20 bod. </w:t>
      </w:r>
    </w:p>
    <w:p w14:paraId="4C1C95A3"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3. Ukupna procjena hitnosti obnove fasade i krova s obzirom na stanje: </w:t>
      </w:r>
    </w:p>
    <w:p w14:paraId="7FA55A6A"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a. Hitni radovi… ……………………………………………………. 50 bodova; </w:t>
      </w:r>
    </w:p>
    <w:p w14:paraId="058A8A4D"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b. Nužni radovi ………………………………………………. ……..40 bodova; </w:t>
      </w:r>
    </w:p>
    <w:p w14:paraId="2EE84DC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c. Radovi na energetskoj efikansnosti objekta………………………..30 bodova; </w:t>
      </w:r>
    </w:p>
    <w:p w14:paraId="225E22D7" w14:textId="77777777" w:rsidR="0011681B" w:rsidRPr="00501561" w:rsidRDefault="0011681B" w:rsidP="0011681B">
      <w:pPr>
        <w:jc w:val="both"/>
        <w:rPr>
          <w:rFonts w:ascii="Times New Roman" w:hAnsi="Times New Roman" w:cs="Times New Roman"/>
          <w:b/>
          <w:bCs/>
          <w:sz w:val="24"/>
          <w:szCs w:val="24"/>
        </w:rPr>
      </w:pPr>
    </w:p>
    <w:p w14:paraId="1F1A331F" w14:textId="77777777" w:rsidR="00C14998" w:rsidRDefault="00C14998" w:rsidP="00501561">
      <w:pPr>
        <w:jc w:val="both"/>
        <w:rPr>
          <w:rFonts w:ascii="Times New Roman" w:hAnsi="Times New Roman" w:cs="Times New Roman"/>
          <w:b/>
          <w:bCs/>
          <w:sz w:val="24"/>
          <w:szCs w:val="24"/>
        </w:rPr>
      </w:pPr>
    </w:p>
    <w:p w14:paraId="4B2800DB" w14:textId="77777777" w:rsidR="00C14998" w:rsidRDefault="00C14998" w:rsidP="00501561">
      <w:pPr>
        <w:jc w:val="both"/>
        <w:rPr>
          <w:rFonts w:ascii="Times New Roman" w:hAnsi="Times New Roman" w:cs="Times New Roman"/>
          <w:b/>
          <w:bCs/>
          <w:sz w:val="24"/>
          <w:szCs w:val="24"/>
        </w:rPr>
      </w:pPr>
    </w:p>
    <w:p w14:paraId="54B50C92" w14:textId="4FAD0E47" w:rsidR="0011681B" w:rsidRPr="00501561" w:rsidRDefault="0011681B" w:rsidP="00501561">
      <w:pPr>
        <w:jc w:val="both"/>
        <w:rPr>
          <w:rFonts w:ascii="Times New Roman" w:hAnsi="Times New Roman" w:cs="Times New Roman"/>
          <w:sz w:val="24"/>
          <w:szCs w:val="24"/>
        </w:rPr>
      </w:pPr>
      <w:r w:rsidRPr="00501561">
        <w:rPr>
          <w:rFonts w:ascii="Times New Roman" w:hAnsi="Times New Roman" w:cs="Times New Roman"/>
          <w:b/>
          <w:bCs/>
          <w:sz w:val="24"/>
          <w:szCs w:val="24"/>
        </w:rPr>
        <w:lastRenderedPageBreak/>
        <w:t xml:space="preserve">Dokumentacija za učešće na javnom pozivu </w:t>
      </w:r>
    </w:p>
    <w:p w14:paraId="3E0AF581" w14:textId="1D189FBE"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10</w:t>
      </w:r>
    </w:p>
    <w:p w14:paraId="4579188D"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Uz prijavu za sufinansiranje adaptacije zajedničkih djelova zgrade, upravnik je dužan da dostavi sljedeće podatke i dokumentaciju:</w:t>
      </w:r>
    </w:p>
    <w:p w14:paraId="51AFA606"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 broj telefona i e-mail adresa upravnika zgrade; </w:t>
      </w:r>
    </w:p>
    <w:p w14:paraId="5A8114FC"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 izvod iz lista nepokretnosti sa kopijom plana urbanističke i katastarske parcele ne stariji od 6 (šest) mjeseci; </w:t>
      </w:r>
    </w:p>
    <w:p w14:paraId="4AD1B7A2" w14:textId="457B7F49"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 odluku skupštine etažnih vlasnika o učešću na javni poziv. Ukoliko zgrada kao arhitektonska cjelina ima više ulaza sa formiranim organima upravljanja neophodno je dostaviti pojedinačne odluke o učešću na javni poziv za svaki ulaz; </w:t>
      </w:r>
    </w:p>
    <w:p w14:paraId="6A7E8C8E"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 izvod iz banke kojim se dokazuje da je na računu etažnih vlasnika obezbijeđeno, najmanje 30% novčanih sredstava za realizaciju planiranih radova; </w:t>
      </w:r>
    </w:p>
    <w:p w14:paraId="13E30119"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 izjavu upravnika zgrade da će do završetka radova obezbijediti preostali dio novčanih sredstava. </w:t>
      </w:r>
    </w:p>
    <w:p w14:paraId="58F44519" w14:textId="3D09A876"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 predmjer i predračun sa opisom radova od privrednog subjekta ili stručnog lica ovlašćenog odnosno licenciranog za tu oblast. </w:t>
      </w:r>
    </w:p>
    <w:p w14:paraId="2E0BB0AB"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Organ lokalne uprave po službenoj dužnosti pribavlja rješenje o imenovanju organa upravljanja zgrade, matični broj i šifra djelatnosti zgrade izdate od organa državne uprave nadležnog za poslove statistike, izvod iz lista nepokretnosti sa kopijom plana urbanističke i katastarske parcele. </w:t>
      </w:r>
    </w:p>
    <w:p w14:paraId="118548C5"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Komisija zadržava pravo da izvrši procjenu usklađenosti jediničnih cijena iz dostavljenih ponuda sa cijenama na tržištu za istu vrstu radova. S tim u vezi, Komisija neće uzeti u razmatranje ponude koje sadrže cijene koje su nerealno visoke u odnosu na tržišne. </w:t>
      </w:r>
    </w:p>
    <w:p w14:paraId="41456D55" w14:textId="77777777" w:rsidR="0011681B" w:rsidRPr="00501561" w:rsidRDefault="0011681B" w:rsidP="00501561">
      <w:pPr>
        <w:spacing w:after="120" w:line="240" w:lineRule="auto"/>
        <w:jc w:val="both"/>
        <w:rPr>
          <w:rFonts w:ascii="Times New Roman" w:hAnsi="Times New Roman" w:cs="Times New Roman"/>
          <w:b/>
          <w:bCs/>
          <w:sz w:val="24"/>
          <w:szCs w:val="24"/>
        </w:rPr>
      </w:pPr>
    </w:p>
    <w:p w14:paraId="1F801F76"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b/>
          <w:bCs/>
          <w:sz w:val="24"/>
          <w:szCs w:val="24"/>
        </w:rPr>
        <w:t>Prijedlog liste prioriteta</w:t>
      </w:r>
    </w:p>
    <w:p w14:paraId="1143B395"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11</w:t>
      </w:r>
    </w:p>
    <w:p w14:paraId="6D4D1A11"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Pregled pristiglih prijava i utvrđivanje prijedloga liste prioriteta sprovešće Komisija u roku od 15 dana od dana imenovanja Komisije. </w:t>
      </w:r>
    </w:p>
    <w:p w14:paraId="41EDEE32"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Prijedlog liste prioriteta  utvrđuje se  prema broju dodijeljenih bodova. </w:t>
      </w:r>
    </w:p>
    <w:p w14:paraId="5FD7BCEB"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Prijedlog liste prioriteta objaviće se na zvaničnoj internet stranici Opštine Rožaje.</w:t>
      </w:r>
    </w:p>
    <w:p w14:paraId="72776B85"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Učesnici na javnom pozivu mogu u roku od 5 dana od dana objavljivanja  nacrta liste prioriteta iz stava 1. ovog člana podnijeti Komisiji prigovor.</w:t>
      </w:r>
    </w:p>
    <w:p w14:paraId="6A64B996" w14:textId="77777777" w:rsidR="0011681B" w:rsidRPr="00501561" w:rsidRDefault="0011681B" w:rsidP="00501561">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Komisija je dužna da u roku od 5 dana od dana prijema, razmotri prigovore  na prijedlog liste prioriteta  i utvrdi konačnu listu.</w:t>
      </w:r>
    </w:p>
    <w:p w14:paraId="77DC03ED" w14:textId="58B5AE2B" w:rsidR="0047027D" w:rsidRPr="00C14998" w:rsidRDefault="0011681B" w:rsidP="00C14998">
      <w:pPr>
        <w:spacing w:after="120" w:line="240" w:lineRule="auto"/>
        <w:jc w:val="both"/>
        <w:rPr>
          <w:rFonts w:ascii="Times New Roman" w:hAnsi="Times New Roman" w:cs="Times New Roman"/>
          <w:sz w:val="24"/>
          <w:szCs w:val="24"/>
        </w:rPr>
      </w:pPr>
      <w:r w:rsidRPr="00501561">
        <w:rPr>
          <w:rFonts w:ascii="Times New Roman" w:hAnsi="Times New Roman" w:cs="Times New Roman"/>
          <w:sz w:val="24"/>
          <w:szCs w:val="24"/>
        </w:rPr>
        <w:t xml:space="preserve">Ukoliko dvije zgrade imaju isti broj bodova, prednost u prijedlogu će imati zgrada koja ima više bodova po kriterijumu ukupne procjene hitnih radova. </w:t>
      </w:r>
    </w:p>
    <w:p w14:paraId="24628B71" w14:textId="77777777" w:rsidR="00C14998" w:rsidRDefault="00C14998" w:rsidP="0011681B">
      <w:pPr>
        <w:jc w:val="both"/>
        <w:rPr>
          <w:rFonts w:ascii="Times New Roman" w:hAnsi="Times New Roman" w:cs="Times New Roman"/>
          <w:b/>
          <w:bCs/>
          <w:sz w:val="24"/>
          <w:szCs w:val="24"/>
        </w:rPr>
      </w:pPr>
    </w:p>
    <w:p w14:paraId="738C4317" w14:textId="77777777" w:rsidR="00C14998" w:rsidRDefault="00C14998" w:rsidP="0011681B">
      <w:pPr>
        <w:jc w:val="both"/>
        <w:rPr>
          <w:rFonts w:ascii="Times New Roman" w:hAnsi="Times New Roman" w:cs="Times New Roman"/>
          <w:b/>
          <w:bCs/>
          <w:sz w:val="24"/>
          <w:szCs w:val="24"/>
        </w:rPr>
      </w:pPr>
    </w:p>
    <w:p w14:paraId="66F6CFC6" w14:textId="77777777" w:rsidR="00C14998" w:rsidRDefault="00C14998" w:rsidP="0011681B">
      <w:pPr>
        <w:jc w:val="both"/>
        <w:rPr>
          <w:rFonts w:ascii="Times New Roman" w:hAnsi="Times New Roman" w:cs="Times New Roman"/>
          <w:b/>
          <w:bCs/>
          <w:sz w:val="24"/>
          <w:szCs w:val="24"/>
        </w:rPr>
      </w:pPr>
    </w:p>
    <w:p w14:paraId="4C4F3B27"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b/>
          <w:bCs/>
          <w:sz w:val="24"/>
          <w:szCs w:val="24"/>
        </w:rPr>
        <w:lastRenderedPageBreak/>
        <w:t>Odluka organa lokalne uprave</w:t>
      </w:r>
    </w:p>
    <w:p w14:paraId="169D2355" w14:textId="77777777" w:rsidR="0011681B" w:rsidRPr="00501561" w:rsidRDefault="0011681B" w:rsidP="0011681B">
      <w:pPr>
        <w:jc w:val="center"/>
        <w:rPr>
          <w:rFonts w:ascii="Times New Roman" w:hAnsi="Times New Roman" w:cs="Times New Roman"/>
          <w:b/>
          <w:bCs/>
          <w:sz w:val="24"/>
          <w:szCs w:val="24"/>
        </w:rPr>
      </w:pPr>
      <w:r w:rsidRPr="00501561">
        <w:rPr>
          <w:rFonts w:ascii="Times New Roman" w:hAnsi="Times New Roman" w:cs="Times New Roman"/>
          <w:b/>
          <w:bCs/>
          <w:sz w:val="24"/>
          <w:szCs w:val="24"/>
        </w:rPr>
        <w:t>Član 12</w:t>
      </w:r>
    </w:p>
    <w:p w14:paraId="1D96C40F" w14:textId="6CBB8F42"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Nakon što Komisija utvrdi konačnu listu prioriteta, istu dostavlja nadležnom organu lokalne uprave na dalju nadležnost. Organ lokalne uprave može, u roku od tri dana od dostavljanja,  listu vratiti Komisiji da ponovi postupak utvrđivanja liste prioriteta, ukoliko ocijeni da nisu ispoštovane odredbe iz člana 9. ove  odluke. Ukoliko prihvati listu prioriteta Komisije, organ lokalne uprave donosi Odluku o sufinansiranju adaptacije i  predlaže Predsjedniku da zaključi ugovore o sufinansiranju sa odabranim  stambenim zgradama. Odluka iz stava 1 ovog člana sadrži naročito: nazive stambenih zgrada, imena upravnika  i visinu sredstava za sufinansiranje. </w:t>
      </w:r>
    </w:p>
    <w:p w14:paraId="3BEC26ED"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b/>
          <w:bCs/>
          <w:sz w:val="24"/>
          <w:szCs w:val="24"/>
        </w:rPr>
        <w:t xml:space="preserve">Ugovor sa izvođačem </w:t>
      </w:r>
    </w:p>
    <w:p w14:paraId="6D9E23C4"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13</w:t>
      </w:r>
    </w:p>
    <w:p w14:paraId="66CF15F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Upravnik stambene zgrade zaključuje ugovor o izvođenju radova sa izvođačem radova. </w:t>
      </w:r>
    </w:p>
    <w:p w14:paraId="1BEC510F" w14:textId="41517328"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 xml:space="preserve">Ugovor naročito sadrži: cijenu, rok za izvođenje radova, dinamiku plaćanja, garanciju na izvedene radove. </w:t>
      </w:r>
    </w:p>
    <w:p w14:paraId="53EE744E"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b/>
          <w:bCs/>
          <w:sz w:val="24"/>
          <w:szCs w:val="24"/>
        </w:rPr>
        <w:t xml:space="preserve">Ugovor o sufinansiranju </w:t>
      </w:r>
    </w:p>
    <w:p w14:paraId="7DF0B597"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14</w:t>
      </w:r>
    </w:p>
    <w:p w14:paraId="16735938"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Ugovorom o sufinansiranju između Opštine Rožaje, koju zastupa predsjednik Opštine i vlasnika posebnih djelova zgrade, koje zastupa upravnik zgrade, regulišu se međusobna prava i obaveze. Ugovorom o sufinansiranju bliže će se odrediti međusobna prava i obaveze ugovornih strana, kao i uslovi i dinamika plaćanja dijela koji se sufinansira.</w:t>
      </w:r>
    </w:p>
    <w:p w14:paraId="62327A74"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sz w:val="24"/>
          <w:szCs w:val="24"/>
        </w:rPr>
        <w:t>Ugovor naročito sadrži: rok za zaključenje ugovora sa izvođačem radova, dinamiku plaćanja. Ako se upravnik ne odazove na poziv i ne zaključi ugovor iz stava 1 ovoga člana, ili ne dostavi ugovor iz stave 2 ovog člana, u roku od 5 dana od dana prijema poziva, smatra se da je zgrada odustala od sufinansiranja adaptacije i sredstva se dodeljuju sljedećoj zgradi na listi prioriteta. Ugovor se objavljuje na internet stranici i oglasnoj tabli Opštine Rožaje.</w:t>
      </w:r>
    </w:p>
    <w:p w14:paraId="4590AE6C" w14:textId="77777777" w:rsidR="0011681B" w:rsidRPr="00501561" w:rsidRDefault="0011681B" w:rsidP="0011681B">
      <w:pPr>
        <w:jc w:val="both"/>
        <w:rPr>
          <w:rFonts w:ascii="Times New Roman" w:hAnsi="Times New Roman" w:cs="Times New Roman"/>
          <w:b/>
          <w:bCs/>
          <w:sz w:val="24"/>
          <w:szCs w:val="24"/>
        </w:rPr>
      </w:pPr>
    </w:p>
    <w:p w14:paraId="5A804FDB" w14:textId="77777777" w:rsidR="0011681B" w:rsidRPr="00501561" w:rsidRDefault="0011681B" w:rsidP="0011681B">
      <w:pPr>
        <w:jc w:val="both"/>
        <w:rPr>
          <w:rFonts w:ascii="Times New Roman" w:hAnsi="Times New Roman" w:cs="Times New Roman"/>
          <w:sz w:val="24"/>
          <w:szCs w:val="24"/>
        </w:rPr>
      </w:pPr>
      <w:r w:rsidRPr="00501561">
        <w:rPr>
          <w:rFonts w:ascii="Times New Roman" w:hAnsi="Times New Roman" w:cs="Times New Roman"/>
          <w:b/>
          <w:bCs/>
          <w:sz w:val="24"/>
          <w:szCs w:val="24"/>
        </w:rPr>
        <w:t xml:space="preserve">III ZAVRŠNE ODREDBE </w:t>
      </w:r>
    </w:p>
    <w:p w14:paraId="0784709C" w14:textId="77777777" w:rsidR="0011681B" w:rsidRPr="00501561" w:rsidRDefault="0011681B" w:rsidP="0011681B">
      <w:pPr>
        <w:jc w:val="center"/>
        <w:rPr>
          <w:rFonts w:ascii="Times New Roman" w:hAnsi="Times New Roman" w:cs="Times New Roman"/>
          <w:sz w:val="24"/>
          <w:szCs w:val="24"/>
        </w:rPr>
      </w:pPr>
      <w:r w:rsidRPr="00501561">
        <w:rPr>
          <w:rFonts w:ascii="Times New Roman" w:hAnsi="Times New Roman" w:cs="Times New Roman"/>
          <w:b/>
          <w:bCs/>
          <w:sz w:val="24"/>
          <w:szCs w:val="24"/>
        </w:rPr>
        <w:t>Član 15</w:t>
      </w:r>
    </w:p>
    <w:p w14:paraId="1D04E4DE" w14:textId="15A05D96" w:rsidR="0011681B" w:rsidRPr="00501561" w:rsidRDefault="00501561" w:rsidP="0011681B">
      <w:pPr>
        <w:jc w:val="both"/>
        <w:rPr>
          <w:rFonts w:ascii="Times New Roman" w:hAnsi="Times New Roman" w:cs="Times New Roman"/>
          <w:sz w:val="24"/>
          <w:szCs w:val="24"/>
        </w:rPr>
      </w:pPr>
      <w:r>
        <w:rPr>
          <w:rFonts w:ascii="Times New Roman" w:hAnsi="Times New Roman" w:cs="Times New Roman"/>
          <w:sz w:val="24"/>
          <w:szCs w:val="24"/>
        </w:rPr>
        <w:t>Ova O</w:t>
      </w:r>
      <w:r w:rsidR="0011681B" w:rsidRPr="00501561">
        <w:rPr>
          <w:rFonts w:ascii="Times New Roman" w:hAnsi="Times New Roman" w:cs="Times New Roman"/>
          <w:sz w:val="24"/>
          <w:szCs w:val="24"/>
        </w:rPr>
        <w:t>dluka stup</w:t>
      </w:r>
      <w:r>
        <w:rPr>
          <w:rFonts w:ascii="Times New Roman" w:hAnsi="Times New Roman" w:cs="Times New Roman"/>
          <w:sz w:val="24"/>
          <w:szCs w:val="24"/>
        </w:rPr>
        <w:t xml:space="preserve">a na snagu danom objavljivanja </w:t>
      </w:r>
      <w:r w:rsidR="0011681B" w:rsidRPr="00501561">
        <w:rPr>
          <w:rFonts w:ascii="Times New Roman" w:hAnsi="Times New Roman" w:cs="Times New Roman"/>
          <w:sz w:val="24"/>
          <w:szCs w:val="24"/>
        </w:rPr>
        <w:t xml:space="preserve">u „Službenom listu Crne Gore – opštinski propisi“. </w:t>
      </w:r>
    </w:p>
    <w:p w14:paraId="345B49D8" w14:textId="5A57C3BB" w:rsidR="00501561" w:rsidRPr="00FA7E7C" w:rsidRDefault="00053185" w:rsidP="00501561">
      <w:pPr>
        <w:spacing w:after="120" w:line="240" w:lineRule="auto"/>
        <w:jc w:val="both"/>
        <w:rPr>
          <w:rFonts w:ascii="Times New Roman" w:hAnsi="Times New Roman" w:cs="Times New Roman"/>
          <w:sz w:val="24"/>
          <w:szCs w:val="24"/>
        </w:rPr>
      </w:pPr>
      <w:r>
        <w:rPr>
          <w:rFonts w:ascii="Times New Roman" w:hAnsi="Times New Roman" w:cs="Times New Roman"/>
          <w:sz w:val="24"/>
          <w:szCs w:val="24"/>
          <w:lang w:val="sr-Latn-CS"/>
        </w:rPr>
        <w:t>Broj:02-016/26 -105</w:t>
      </w:r>
      <w:bookmarkStart w:id="0" w:name="_GoBack"/>
      <w:bookmarkEnd w:id="0"/>
    </w:p>
    <w:p w14:paraId="284A92AB" w14:textId="3CEA54BB" w:rsidR="00501561" w:rsidRPr="006B0F93" w:rsidRDefault="00501561" w:rsidP="00501561">
      <w:pPr>
        <w:spacing w:after="120" w:line="240" w:lineRule="auto"/>
        <w:jc w:val="both"/>
        <w:rPr>
          <w:rFonts w:ascii="Times New Roman" w:hAnsi="Times New Roman" w:cs="Times New Roman"/>
          <w:sz w:val="24"/>
          <w:szCs w:val="24"/>
          <w:lang w:val="sr-Latn-CS"/>
        </w:rPr>
      </w:pPr>
      <w:r>
        <w:rPr>
          <w:rFonts w:ascii="Times New Roman" w:hAnsi="Times New Roman" w:cs="Times New Roman"/>
          <w:sz w:val="24"/>
          <w:szCs w:val="24"/>
          <w:lang w:val="sr-Latn-CS"/>
        </w:rPr>
        <w:t>Rožaje, 29.04.2026</w:t>
      </w:r>
      <w:r w:rsidRPr="006B0F93">
        <w:rPr>
          <w:rFonts w:ascii="Times New Roman" w:hAnsi="Times New Roman" w:cs="Times New Roman"/>
          <w:sz w:val="24"/>
          <w:szCs w:val="24"/>
          <w:lang w:val="sr-Latn-CS"/>
        </w:rPr>
        <w:t>.godine</w:t>
      </w:r>
    </w:p>
    <w:p w14:paraId="791D3B80" w14:textId="44330B6C" w:rsidR="009F5E82" w:rsidRPr="009F5E82" w:rsidRDefault="00501561" w:rsidP="009F5E82">
      <w:pPr>
        <w:jc w:val="center"/>
        <w:rPr>
          <w:rFonts w:ascii="Times New Roman" w:hAnsi="Times New Roman" w:cs="Times New Roman"/>
          <w:b/>
          <w:sz w:val="24"/>
          <w:szCs w:val="24"/>
          <w:lang w:val="sr-Latn-CS"/>
        </w:rPr>
      </w:pPr>
      <w:r w:rsidRPr="00FA7E7C">
        <w:rPr>
          <w:rFonts w:ascii="Times New Roman" w:hAnsi="Times New Roman" w:cs="Times New Roman"/>
          <w:b/>
          <w:sz w:val="24"/>
          <w:szCs w:val="24"/>
          <w:lang w:val="sr-Latn-CS"/>
        </w:rPr>
        <w:t>SKUPŠTINA OPŠTINE ROŽAJE</w:t>
      </w:r>
    </w:p>
    <w:p w14:paraId="0FC299B2" w14:textId="754A1675" w:rsidR="009F5E82" w:rsidRDefault="009F5E82" w:rsidP="009F5E82">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                                                                                                                 Predsjednik Skupštine,</w:t>
      </w:r>
    </w:p>
    <w:p w14:paraId="536AC31A" w14:textId="364C79BF" w:rsidR="00BD7C6D" w:rsidRPr="009F5E82" w:rsidRDefault="009F5E82">
      <w:r>
        <w:rPr>
          <w:rFonts w:ascii="Times New Roman" w:hAnsi="Times New Roman" w:cs="Times New Roman"/>
          <w:sz w:val="24"/>
          <w:szCs w:val="24"/>
        </w:rPr>
        <w:t xml:space="preserve">                                                                                                                       Almir Avdić, s. r.         </w:t>
      </w:r>
    </w:p>
    <w:sectPr w:rsidR="00BD7C6D" w:rsidRPr="009F5E82" w:rsidSect="00C149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C05"/>
    <w:rsid w:val="00053185"/>
    <w:rsid w:val="0011681B"/>
    <w:rsid w:val="002129D4"/>
    <w:rsid w:val="0047027D"/>
    <w:rsid w:val="00501561"/>
    <w:rsid w:val="009F5E82"/>
    <w:rsid w:val="00A64C1F"/>
    <w:rsid w:val="00BD7C6D"/>
    <w:rsid w:val="00BE215A"/>
    <w:rsid w:val="00C14998"/>
    <w:rsid w:val="00CB3C05"/>
    <w:rsid w:val="00EE7D55"/>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B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sr-Latn-ME"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81B"/>
    <w:rPr>
      <w:kern w:val="0"/>
      <w14:ligatures w14:val="none"/>
    </w:rPr>
  </w:style>
  <w:style w:type="paragraph" w:styleId="Heading1">
    <w:name w:val="heading 1"/>
    <w:basedOn w:val="Normal"/>
    <w:next w:val="Normal"/>
    <w:link w:val="Heading1Char"/>
    <w:uiPriority w:val="9"/>
    <w:qFormat/>
    <w:rsid w:val="00CB3C05"/>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3C05"/>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3C05"/>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B3C05"/>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B3C05"/>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B3C05"/>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B3C05"/>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B3C05"/>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B3C05"/>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C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3C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3C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B3C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B3C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B3C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3C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3C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3C05"/>
    <w:rPr>
      <w:rFonts w:eastAsiaTheme="majorEastAsia" w:cstheme="majorBidi"/>
      <w:color w:val="272727" w:themeColor="text1" w:themeTint="D8"/>
    </w:rPr>
  </w:style>
  <w:style w:type="paragraph" w:styleId="Title">
    <w:name w:val="Title"/>
    <w:basedOn w:val="Normal"/>
    <w:next w:val="Normal"/>
    <w:link w:val="TitleChar"/>
    <w:uiPriority w:val="10"/>
    <w:qFormat/>
    <w:rsid w:val="00CB3C0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3C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3C05"/>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B3C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3C05"/>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CB3C05"/>
    <w:rPr>
      <w:i/>
      <w:iCs/>
      <w:color w:val="404040" w:themeColor="text1" w:themeTint="BF"/>
    </w:rPr>
  </w:style>
  <w:style w:type="paragraph" w:styleId="ListParagraph">
    <w:name w:val="List Paragraph"/>
    <w:basedOn w:val="Normal"/>
    <w:uiPriority w:val="34"/>
    <w:qFormat/>
    <w:rsid w:val="00CB3C05"/>
    <w:pPr>
      <w:ind w:left="720"/>
      <w:contextualSpacing/>
    </w:pPr>
    <w:rPr>
      <w:kern w:val="2"/>
      <w14:ligatures w14:val="standardContextual"/>
    </w:rPr>
  </w:style>
  <w:style w:type="character" w:styleId="IntenseEmphasis">
    <w:name w:val="Intense Emphasis"/>
    <w:basedOn w:val="DefaultParagraphFont"/>
    <w:uiPriority w:val="21"/>
    <w:qFormat/>
    <w:rsid w:val="00CB3C05"/>
    <w:rPr>
      <w:i/>
      <w:iCs/>
      <w:color w:val="2F5496" w:themeColor="accent1" w:themeShade="BF"/>
    </w:rPr>
  </w:style>
  <w:style w:type="paragraph" w:styleId="IntenseQuote">
    <w:name w:val="Intense Quote"/>
    <w:basedOn w:val="Normal"/>
    <w:next w:val="Normal"/>
    <w:link w:val="IntenseQuoteChar"/>
    <w:uiPriority w:val="30"/>
    <w:qFormat/>
    <w:rsid w:val="00CB3C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CB3C05"/>
    <w:rPr>
      <w:i/>
      <w:iCs/>
      <w:color w:val="2F5496" w:themeColor="accent1" w:themeShade="BF"/>
    </w:rPr>
  </w:style>
  <w:style w:type="character" w:styleId="IntenseReference">
    <w:name w:val="Intense Reference"/>
    <w:basedOn w:val="DefaultParagraphFont"/>
    <w:uiPriority w:val="32"/>
    <w:qFormat/>
    <w:rsid w:val="00CB3C05"/>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sr-Latn-ME"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81B"/>
    <w:rPr>
      <w:kern w:val="0"/>
      <w14:ligatures w14:val="none"/>
    </w:rPr>
  </w:style>
  <w:style w:type="paragraph" w:styleId="Heading1">
    <w:name w:val="heading 1"/>
    <w:basedOn w:val="Normal"/>
    <w:next w:val="Normal"/>
    <w:link w:val="Heading1Char"/>
    <w:uiPriority w:val="9"/>
    <w:qFormat/>
    <w:rsid w:val="00CB3C05"/>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3C05"/>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3C05"/>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B3C05"/>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B3C05"/>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B3C05"/>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B3C05"/>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B3C05"/>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B3C05"/>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C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3C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3C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B3C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B3C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B3C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3C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3C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3C05"/>
    <w:rPr>
      <w:rFonts w:eastAsiaTheme="majorEastAsia" w:cstheme="majorBidi"/>
      <w:color w:val="272727" w:themeColor="text1" w:themeTint="D8"/>
    </w:rPr>
  </w:style>
  <w:style w:type="paragraph" w:styleId="Title">
    <w:name w:val="Title"/>
    <w:basedOn w:val="Normal"/>
    <w:next w:val="Normal"/>
    <w:link w:val="TitleChar"/>
    <w:uiPriority w:val="10"/>
    <w:qFormat/>
    <w:rsid w:val="00CB3C0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3C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3C05"/>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B3C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3C05"/>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CB3C05"/>
    <w:rPr>
      <w:i/>
      <w:iCs/>
      <w:color w:val="404040" w:themeColor="text1" w:themeTint="BF"/>
    </w:rPr>
  </w:style>
  <w:style w:type="paragraph" w:styleId="ListParagraph">
    <w:name w:val="List Paragraph"/>
    <w:basedOn w:val="Normal"/>
    <w:uiPriority w:val="34"/>
    <w:qFormat/>
    <w:rsid w:val="00CB3C05"/>
    <w:pPr>
      <w:ind w:left="720"/>
      <w:contextualSpacing/>
    </w:pPr>
    <w:rPr>
      <w:kern w:val="2"/>
      <w14:ligatures w14:val="standardContextual"/>
    </w:rPr>
  </w:style>
  <w:style w:type="character" w:styleId="IntenseEmphasis">
    <w:name w:val="Intense Emphasis"/>
    <w:basedOn w:val="DefaultParagraphFont"/>
    <w:uiPriority w:val="21"/>
    <w:qFormat/>
    <w:rsid w:val="00CB3C05"/>
    <w:rPr>
      <w:i/>
      <w:iCs/>
      <w:color w:val="2F5496" w:themeColor="accent1" w:themeShade="BF"/>
    </w:rPr>
  </w:style>
  <w:style w:type="paragraph" w:styleId="IntenseQuote">
    <w:name w:val="Intense Quote"/>
    <w:basedOn w:val="Normal"/>
    <w:next w:val="Normal"/>
    <w:link w:val="IntenseQuoteChar"/>
    <w:uiPriority w:val="30"/>
    <w:qFormat/>
    <w:rsid w:val="00CB3C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CB3C05"/>
    <w:rPr>
      <w:i/>
      <w:iCs/>
      <w:color w:val="2F5496" w:themeColor="accent1" w:themeShade="BF"/>
    </w:rPr>
  </w:style>
  <w:style w:type="character" w:styleId="IntenseReference">
    <w:name w:val="Intense Reference"/>
    <w:basedOn w:val="DefaultParagraphFont"/>
    <w:uiPriority w:val="32"/>
    <w:qFormat/>
    <w:rsid w:val="00CB3C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1579</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Samra</dc:creator>
  <cp:lastModifiedBy>Athlon</cp:lastModifiedBy>
  <cp:revision>6</cp:revision>
  <cp:lastPrinted>2026-04-29T09:57:00Z</cp:lastPrinted>
  <dcterms:created xsi:type="dcterms:W3CDTF">2026-04-29T09:57:00Z</dcterms:created>
  <dcterms:modified xsi:type="dcterms:W3CDTF">2026-04-29T12:39:00Z</dcterms:modified>
</cp:coreProperties>
</file>